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710" w:type="dxa"/>
        <w:tblInd w:w="0" w:type="dxa"/>
        <w:tblLayout w:type="fixed"/>
        <w:tblCellMar>
          <w:top w:w="0" w:type="dxa"/>
          <w:left w:w="108" w:type="dxa"/>
          <w:bottom w:w="0" w:type="dxa"/>
          <w:right w:w="108" w:type="dxa"/>
        </w:tblCellMar>
      </w:tblPr>
      <w:tblGrid>
        <w:gridCol w:w="250"/>
        <w:gridCol w:w="10218"/>
        <w:gridCol w:w="242"/>
      </w:tblGrid>
      <w:tr>
        <w:tblPrEx>
          <w:tblCellMar>
            <w:top w:w="0" w:type="dxa"/>
            <w:left w:w="108" w:type="dxa"/>
            <w:bottom w:w="0" w:type="dxa"/>
            <w:right w:w="108" w:type="dxa"/>
          </w:tblCellMar>
        </w:tblPrEx>
        <w:trPr>
          <w:trHeight w:val="3352" w:hRule="atLeast"/>
        </w:trPr>
        <w:tc>
          <w:tcPr>
            <w:tcW w:w="10710" w:type="dxa"/>
            <w:gridSpan w:val="3"/>
          </w:tcPr>
          <w:p>
            <w:pPr>
              <w:jc w:val="center"/>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85725</wp:posOffset>
                  </wp:positionV>
                  <wp:extent cx="6659245" cy="1793875"/>
                  <wp:effectExtent l="0" t="0" r="8255" b="15875"/>
                  <wp:wrapTight wrapText="bothSides">
                    <wp:wrapPolygon>
                      <wp:start x="0" y="0"/>
                      <wp:lineTo x="0" y="21332"/>
                      <wp:lineTo x="21565" y="21332"/>
                      <wp:lineTo x="21565" y="0"/>
                      <wp:lineTo x="0" y="0"/>
                    </wp:wrapPolygon>
                  </wp:wrapTight>
                  <wp:docPr id="1" name="图片 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5"/>
                          <pic:cNvPicPr>
                            <a:picLocks noChangeAspect="1"/>
                          </pic:cNvPicPr>
                        </pic:nvPicPr>
                        <pic:blipFill>
                          <a:blip r:embed="rId4"/>
                          <a:stretch>
                            <a:fillRect/>
                          </a:stretch>
                        </pic:blipFill>
                        <pic:spPr>
                          <a:xfrm>
                            <a:off x="0" y="0"/>
                            <a:ext cx="6659245" cy="1793875"/>
                          </a:xfrm>
                          <a:prstGeom prst="rect">
                            <a:avLst/>
                          </a:prstGeom>
                        </pic:spPr>
                      </pic:pic>
                    </a:graphicData>
                  </a:graphic>
                </wp:anchor>
              </w:drawing>
            </w: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spacing w:line="400" w:lineRule="exact"/>
              <w:ind w:left="105" w:firstLine="0" w:firstLineChars="0"/>
              <w:jc w:val="left"/>
              <w:rPr>
                <w:color w:val="0000FF"/>
              </w:rPr>
            </w:pPr>
            <w:r>
              <w:rPr>
                <w:color w:val="0000FF"/>
              </w:rPr>
              <w:drawing>
                <wp:inline distT="0" distB="0" distL="0" distR="0">
                  <wp:extent cx="4862830" cy="242570"/>
                  <wp:effectExtent l="0" t="0" r="0" b="5080"/>
                  <wp:docPr id="11" name="图片 11" descr="母校新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母校新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62830" cy="242570"/>
                          </a:xfrm>
                          <a:prstGeom prst="rect">
                            <a:avLst/>
                          </a:prstGeom>
                          <a:noFill/>
                          <a:ln>
                            <a:noFill/>
                          </a:ln>
                        </pic:spPr>
                      </pic:pic>
                    </a:graphicData>
                  </a:graphic>
                </wp:inline>
              </w:drawing>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ind w:firstLineChars="0"/>
              <w:rPr>
                <w:b/>
                <w:bCs/>
                <w:sz w:val="24"/>
                <w:szCs w:val="24"/>
              </w:rPr>
            </w:pPr>
            <w:r>
              <w:rPr>
                <w:rFonts w:hint="eastAsia"/>
                <w:b/>
                <w:bCs/>
                <w:sz w:val="24"/>
                <w:szCs w:val="24"/>
              </w:rPr>
              <w:t>学校召开雄安校区总体规划方案征集项目情况介绍会</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仿宋_GB2312" w:hAnsi="宋体" w:eastAsia="仿宋_GB2312" w:cs="宋体"/>
                <w:kern w:val="0"/>
                <w:sz w:val="24"/>
                <w:szCs w:val="24"/>
              </w:rPr>
            </w:pPr>
            <w:r>
              <w:rPr>
                <w:rFonts w:hint="eastAsia" w:ascii="仿宋_GB2312" w:hAnsi="宋体" w:eastAsia="仿宋_GB2312" w:cs="宋体"/>
                <w:kern w:val="0"/>
                <w:sz w:val="24"/>
                <w:szCs w:val="24"/>
              </w:rPr>
              <w:t>5月26日上午，学校组织召开北京科技大学雄安校区总体规划方案征集项目情况介绍视频会议。参加会议的有包括王建国院士、庄惟敏院士、梅洪元院士在内的7家应征单位有关负责人及设计师，中国城市规划设计研究院河北雄安分院院长殷会良，北京科技园拍卖招标有限公司负责人；学校副校长、雄安校区建设项目指挥部（以下简称“指挥部”）总指挥郑安阳，资产管理处处长、招采中心主任孟兆磊，指挥部冯建明、郭志恒、仇安兵及有关负责人。会议由指挥部副总指挥金仁东主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firstLineChars="0"/>
              <w:jc w:val="right"/>
              <w:rPr>
                <w:rStyle w:val="7"/>
              </w:rPr>
            </w:pPr>
            <w:r>
              <w:fldChar w:fldCharType="begin"/>
            </w:r>
            <w:r>
              <w:instrText xml:space="preserve"> HYPERLINK "http://news.ustb.edu.cn/xinwendaodu/2022-05-31/80879.html" </w:instrText>
            </w:r>
            <w:r>
              <w:fldChar w:fldCharType="separate"/>
            </w:r>
            <w:r>
              <w:rPr>
                <w:rStyle w:val="6"/>
                <w:rFonts w:hint="eastAsia"/>
              </w:rPr>
              <w:t>详情点击查看</w:t>
            </w:r>
            <w:r>
              <w:rPr>
                <w:rStyle w:val="7"/>
                <w:rFonts w:hint="eastAsia"/>
              </w:rPr>
              <w:fldChar w:fldCharType="end"/>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b/>
                <w:bCs/>
                <w:sz w:val="24"/>
                <w:szCs w:val="24"/>
              </w:rPr>
            </w:pPr>
            <w:r>
              <w:rPr>
                <w:rFonts w:hint="eastAsia"/>
                <w:b/>
                <w:bCs/>
                <w:sz w:val="24"/>
                <w:szCs w:val="24"/>
              </w:rPr>
              <w:t>学校举行第十六届“校长奖章”答辩会</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仿宋_GB2312" w:hAnsi="宋体" w:eastAsia="仿宋_GB2312" w:cs="宋体"/>
                <w:kern w:val="0"/>
                <w:sz w:val="24"/>
                <w:szCs w:val="24"/>
              </w:rPr>
            </w:pPr>
            <w:r>
              <w:rPr>
                <w:rFonts w:hint="eastAsia" w:ascii="仿宋_GB2312" w:hAnsi="宋体" w:eastAsia="仿宋_GB2312" w:cs="宋体"/>
                <w:kern w:val="0"/>
                <w:sz w:val="24"/>
                <w:szCs w:val="24"/>
              </w:rPr>
              <w:t>6月8日，学校第十六届“校长奖章”答辩会通过网络平台顺利举行。副校长郑安阳，党委办公室、校长办公室、宣传部、教务处、研究生院、学生工作部、校团委、招生就业处、国际学生中心和部分学院、研究生培养单位负责同志出席并担任评委，答辩会由学生工作部部长尹兆华主持。</w:t>
            </w: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jc w:val="right"/>
              <w:rPr>
                <w:rFonts w:ascii="宋体" w:hAnsi="宋体" w:cs="宋体"/>
                <w:color w:val="0000FF"/>
                <w:szCs w:val="21"/>
                <w:u w:val="single"/>
              </w:rPr>
            </w:pPr>
            <w:r>
              <w:fldChar w:fldCharType="begin"/>
            </w:r>
            <w:r>
              <w:instrText xml:space="preserve"> HYPERLINK "http://news.ustb.edu.cn/xinwendaodu/2022-06-09/80908.html" </w:instrText>
            </w:r>
            <w:r>
              <w:fldChar w:fldCharType="separate"/>
            </w:r>
            <w:r>
              <w:rPr>
                <w:rStyle w:val="6"/>
                <w:rFonts w:hint="eastAsia" w:ascii="宋体" w:hAnsi="宋体" w:cs="宋体"/>
                <w:szCs w:val="21"/>
              </w:rPr>
              <w:t>详情点击查看</w:t>
            </w:r>
            <w:r>
              <w:rPr>
                <w:rStyle w:val="7"/>
                <w:rFonts w:hint="eastAsia" w:ascii="宋体" w:hAnsi="宋体" w:cs="宋体"/>
                <w:szCs w:val="21"/>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color w:val="0000FF"/>
              </w:rPr>
            </w:pPr>
            <w:r>
              <w:rPr>
                <w:rFonts w:hint="eastAsia"/>
                <w:b/>
                <w:bCs/>
                <w:sz w:val="24"/>
                <w:szCs w:val="24"/>
              </w:rPr>
              <w:t>学校“全国党建工作样板支部”及“双带头人”教师党支部书记工作室通过验收</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color w:val="0000FF"/>
              </w:rPr>
            </w:pPr>
            <w:r>
              <w:rPr>
                <w:rFonts w:hint="eastAsia" w:ascii="仿宋_GB2312" w:hAnsi="宋体" w:eastAsia="仿宋_GB2312" w:cs="宋体"/>
                <w:kern w:val="0"/>
                <w:sz w:val="24"/>
                <w:szCs w:val="24"/>
              </w:rPr>
              <w:t>近日，教育部思想政治工作司公布了第二批“全国党建工作样板支部”建设单位和首批高校“双带头人”教师党支部书记工作室建设单位验收通过名单，我校新材料技术研究院粉末冶金材料加工党支部、计算机与通信工程学院计通研18级第六党支部、外国语学院亚欧语系党支部书记工作室均顺利通过培育创建验收。</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jc w:val="right"/>
              <w:rPr>
                <w:rFonts w:ascii="仿宋_GB2312" w:hAnsi="宋体" w:eastAsia="仿宋_GB2312" w:cs="宋体"/>
                <w:kern w:val="0"/>
                <w:sz w:val="24"/>
                <w:szCs w:val="24"/>
              </w:rPr>
            </w:pPr>
            <w:r>
              <w:fldChar w:fldCharType="begin"/>
            </w:r>
            <w:r>
              <w:instrText xml:space="preserve"> HYPERLINK "http://news.ustb.edu.cn/xinwendaodu/2022-06-10/80910.html" </w:instrText>
            </w:r>
            <w:r>
              <w:fldChar w:fldCharType="separate"/>
            </w:r>
            <w:r>
              <w:rPr>
                <w:rStyle w:val="6"/>
                <w:rFonts w:hint="eastAsia" w:ascii="宋体" w:hAnsi="宋体" w:cs="宋体"/>
                <w:szCs w:val="21"/>
              </w:rPr>
              <w:t>详情点击查看</w:t>
            </w:r>
            <w:r>
              <w:rPr>
                <w:rStyle w:val="7"/>
                <w:rFonts w:hint="eastAsia" w:ascii="宋体" w:hAnsi="宋体" w:cs="宋体"/>
                <w:szCs w:val="21"/>
              </w:rPr>
              <w:fldChar w:fldCharType="end"/>
            </w: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color w:val="0000FF"/>
              </w:rPr>
            </w:pPr>
            <w:r>
              <w:rPr>
                <w:rFonts w:hint="eastAsia"/>
                <w:b/>
                <w:bCs/>
                <w:sz w:val="24"/>
                <w:szCs w:val="24"/>
              </w:rPr>
              <w:t>学校召开2022年毕业生就业创业工作推进会</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color w:val="0000FF"/>
              </w:rPr>
            </w:pPr>
            <w:r>
              <w:rPr>
                <w:rFonts w:hint="eastAsia" w:ascii="仿宋_GB2312" w:hAnsi="宋体" w:eastAsia="仿宋_GB2312" w:cs="宋体"/>
                <w:kern w:val="0"/>
                <w:sz w:val="24"/>
                <w:szCs w:val="24"/>
              </w:rPr>
              <w:t>为贯彻落实全国普通高等学校毕业生就业创业工作电视电话会议精神，深入推进我校毕业生就业创业工作，6月9日下午，学校召开2022届毕业生就业创业工作推进会。全体校领导、相关部门负责人、各学院及培养单位院长、书记、专项工作负责人和毕业班辅导员等共同参会。会议由校长杨仁树主持，以线上线下相结合的方式进行。</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jc w:val="right"/>
              <w:rPr>
                <w:rFonts w:ascii="仿宋_GB2312" w:hAnsi="宋体" w:eastAsia="仿宋_GB2312" w:cs="宋体"/>
                <w:kern w:val="0"/>
                <w:sz w:val="24"/>
                <w:szCs w:val="24"/>
              </w:rPr>
            </w:pPr>
            <w:r>
              <w:fldChar w:fldCharType="begin"/>
            </w:r>
            <w:r>
              <w:instrText xml:space="preserve"> HYPERLINK "http://news.ustb.edu.cn/xinwendaodu/2022-06-10/80909.html" </w:instrText>
            </w:r>
            <w:r>
              <w:fldChar w:fldCharType="separate"/>
            </w:r>
            <w:r>
              <w:rPr>
                <w:rStyle w:val="6"/>
                <w:rFonts w:hint="eastAsia" w:ascii="宋体" w:hAnsi="宋体" w:cs="宋体"/>
                <w:szCs w:val="21"/>
              </w:rPr>
              <w:t>详情点击查看</w:t>
            </w:r>
            <w:r>
              <w:rPr>
                <w:rStyle w:val="7"/>
                <w:rFonts w:hint="eastAsia" w:ascii="宋体" w:hAnsi="宋体" w:cs="宋体"/>
                <w:szCs w:val="21"/>
              </w:rPr>
              <w:fldChar w:fldCharType="end"/>
            </w: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color w:val="0000FF"/>
              </w:rPr>
            </w:pPr>
            <w:r>
              <w:rPr>
                <w:rFonts w:hint="eastAsia"/>
                <w:b/>
                <w:bCs/>
                <w:sz w:val="24"/>
                <w:szCs w:val="24"/>
              </w:rPr>
              <w:t>学校获评北京高等学校党的建设和思想政治工作优秀成果奖、创新成果奖</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color w:val="0000FF"/>
              </w:rPr>
            </w:pPr>
            <w:r>
              <w:rPr>
                <w:rFonts w:hint="eastAsia" w:ascii="仿宋_GB2312" w:hAnsi="宋体" w:eastAsia="仿宋_GB2312" w:cs="宋体"/>
                <w:kern w:val="0"/>
                <w:sz w:val="24"/>
                <w:szCs w:val="24"/>
              </w:rPr>
              <w:t>近日，北京市委教育工委公布了2018-2020年北京高等学校党的建设和思想政治工作优秀成果、创新成果评选结果，我校“建设“鼎新”领航工作站（党支部） 加强青年人才的政治引领、团结凝聚和发展支持”获评优秀成果二等奖、创新成果奖，“敢为人先出新招 数字马院‘增活力’” 获评优秀成果三等奖。</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jc w:val="right"/>
              <w:rPr>
                <w:rFonts w:ascii="仿宋_GB2312" w:hAnsi="宋体" w:eastAsia="仿宋_GB2312" w:cs="宋体"/>
                <w:kern w:val="0"/>
                <w:sz w:val="24"/>
                <w:szCs w:val="24"/>
              </w:rPr>
            </w:pPr>
            <w:r>
              <w:fldChar w:fldCharType="begin"/>
            </w:r>
            <w:r>
              <w:instrText xml:space="preserve"> HYPERLINK "http://news.ustb.edu.cn/xinwendaodu/2022-06-13/80914.html" </w:instrText>
            </w:r>
            <w:r>
              <w:fldChar w:fldCharType="separate"/>
            </w:r>
            <w:r>
              <w:rPr>
                <w:rStyle w:val="6"/>
                <w:rFonts w:hint="eastAsia" w:ascii="宋体" w:hAnsi="宋体" w:cs="宋体"/>
                <w:szCs w:val="21"/>
              </w:rPr>
              <w:t>详情点击查看</w:t>
            </w:r>
            <w:r>
              <w:rPr>
                <w:rStyle w:val="7"/>
                <w:rFonts w:hint="eastAsia" w:ascii="宋体" w:hAnsi="宋体" w:cs="宋体"/>
                <w:szCs w:val="21"/>
              </w:rPr>
              <w:fldChar w:fldCharType="end"/>
            </w: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rStyle w:val="7"/>
                <w:u w:val="none"/>
              </w:rPr>
            </w:pPr>
            <w:r>
              <w:rPr>
                <w:rFonts w:hint="eastAsia"/>
                <w:b/>
                <w:bCs/>
                <w:sz w:val="24"/>
                <w:szCs w:val="24"/>
              </w:rPr>
              <w:t>再增20个——我校国家级和北京市级一流本科专业建设点总数增至43个</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Style w:val="7"/>
                <w:u w:val="none"/>
              </w:rPr>
            </w:pPr>
            <w:r>
              <w:rPr>
                <w:rFonts w:hint="eastAsia" w:ascii="仿宋_GB2312" w:hAnsi="宋体" w:eastAsia="仿宋_GB2312" w:cs="宋体"/>
                <w:kern w:val="0"/>
                <w:sz w:val="24"/>
                <w:szCs w:val="24"/>
              </w:rPr>
              <w:t>日前，教育部印发《教育部办公厅关于公布2021年度国家级和省级一流本科专业建设点名单的通知》（教高厅函﹝2022﹞14号），正式公布2021年度一流本科专业建设“双万计划”建设点名单。我校推荐的法学、日语、应用化学、车辆工程、测控技术与仪器、无机非金属材料工程、大数据管理与应用、会计学、行政管理、物流工程等10个专业获批2021年度国家级一流本科专业建设点；金融工程、德语、生物技术、人工智能、机器人工程、物联网工程、建筑环境与能源应用工程、环境科学、工程管理、视觉传达设计等10个专业获批2021年度北京市级一流本科专业建设点。</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jc w:val="right"/>
              <w:rPr>
                <w:rFonts w:ascii="仿宋_GB2312" w:hAnsi="宋体" w:eastAsia="仿宋_GB2312" w:cs="宋体"/>
                <w:kern w:val="0"/>
                <w:sz w:val="24"/>
                <w:szCs w:val="24"/>
              </w:rPr>
            </w:pPr>
            <w:r>
              <w:fldChar w:fldCharType="begin"/>
            </w:r>
            <w:r>
              <w:instrText xml:space="preserve"> HYPERLINK "http://news.ustb.edu.cn/xinwendaodu/2022-06-13/80918.html" </w:instrText>
            </w:r>
            <w:r>
              <w:fldChar w:fldCharType="separate"/>
            </w:r>
            <w:r>
              <w:rPr>
                <w:rStyle w:val="6"/>
                <w:rFonts w:hint="eastAsia" w:ascii="宋体" w:hAnsi="宋体" w:cs="宋体"/>
                <w:szCs w:val="21"/>
              </w:rPr>
              <w:t>详情点击查看</w:t>
            </w:r>
            <w:r>
              <w:rPr>
                <w:rStyle w:val="7"/>
                <w:rFonts w:hint="eastAsia" w:ascii="宋体" w:hAnsi="宋体" w:cs="宋体"/>
                <w:szCs w:val="21"/>
              </w:rPr>
              <w:fldChar w:fldCharType="end"/>
            </w: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rFonts w:ascii="宋体" w:hAnsi="宋体" w:cs="宋体"/>
                <w:color w:val="0000FF"/>
                <w:szCs w:val="21"/>
                <w:u w:val="single"/>
              </w:rPr>
            </w:pPr>
            <w:r>
              <w:rPr>
                <w:rFonts w:hint="eastAsia"/>
                <w:b/>
                <w:bCs/>
                <w:sz w:val="24"/>
                <w:szCs w:val="24"/>
              </w:rPr>
              <w:t>教育部张国辉副司长一行调研学校疫情防控和实验室安全工作</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宋体" w:hAnsi="宋体" w:cs="宋体"/>
                <w:color w:val="0000FF"/>
                <w:szCs w:val="21"/>
                <w:u w:val="single"/>
              </w:rPr>
            </w:pPr>
            <w:r>
              <w:rPr>
                <w:rFonts w:hint="eastAsia" w:ascii="仿宋_GB2312" w:hAnsi="宋体" w:eastAsia="仿宋_GB2312" w:cs="宋体"/>
                <w:kern w:val="0"/>
                <w:sz w:val="24"/>
                <w:szCs w:val="24"/>
              </w:rPr>
              <w:t>为深入贯彻落实党中央、国务院和教育部有关决策部署，切实做好校园疫情防控和实验室安全工作，6月13日下午，教育部科学技术与信息化司副司长张国辉一行来校调研疫情防控和实验室安全工作，副校长郑安阳、张卫冬陪同调研。</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firstLineChars="0"/>
              <w:jc w:val="right"/>
              <w:rPr>
                <w:rFonts w:ascii="宋体" w:hAnsi="宋体" w:cs="宋体"/>
                <w:color w:val="0000FF"/>
                <w:szCs w:val="21"/>
                <w:u w:val="single"/>
              </w:rPr>
            </w:pPr>
            <w:r>
              <w:fldChar w:fldCharType="begin"/>
            </w:r>
            <w:r>
              <w:instrText xml:space="preserve"> HYPERLINK "http://news.ustb.edu.cn/xinwendaodu/2022-06-17/80936.html" </w:instrText>
            </w:r>
            <w:r>
              <w:fldChar w:fldCharType="separate"/>
            </w:r>
            <w:r>
              <w:rPr>
                <w:rStyle w:val="6"/>
                <w:rFonts w:hint="eastAsia" w:ascii="宋体" w:hAnsi="宋体" w:cs="宋体"/>
                <w:szCs w:val="21"/>
              </w:rPr>
              <w:t>详情点击查看</w:t>
            </w:r>
            <w:r>
              <w:rPr>
                <w:rStyle w:val="7"/>
                <w:rFonts w:hint="eastAsia" w:ascii="宋体" w:hAnsi="宋体" w:cs="宋体"/>
                <w:szCs w:val="21"/>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pPr>
            <w:r>
              <w:rPr>
                <w:rFonts w:hint="eastAsia"/>
                <w:b/>
                <w:bCs/>
                <w:sz w:val="24"/>
                <w:szCs w:val="24"/>
              </w:rPr>
              <w:t>我校国家科学中心栾本利教授当选加拿大国家工程院院士</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Style w:val="7"/>
                <w:u w:val="none"/>
              </w:rPr>
            </w:pPr>
            <w:r>
              <w:rPr>
                <w:rFonts w:hint="eastAsia" w:ascii="仿宋_GB2312" w:hAnsi="宋体" w:eastAsia="仿宋_GB2312" w:cs="宋体"/>
                <w:kern w:val="0"/>
                <w:sz w:val="24"/>
                <w:szCs w:val="24"/>
              </w:rPr>
              <w:t>加拿大国家工程院2022年年会（CAE Annual General Meeting 2022）于当地时间6月13日举行，会上正式公布了2022年新增院士名单，我校栾本利教授当选为加拿大国家工程院院士。</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firstLineChars="0"/>
              <w:jc w:val="right"/>
              <w:rPr>
                <w:rStyle w:val="7"/>
                <w:rFonts w:ascii="宋体" w:hAnsi="宋体" w:cs="宋体"/>
                <w:szCs w:val="21"/>
              </w:rPr>
            </w:pPr>
            <w:r>
              <w:fldChar w:fldCharType="begin"/>
            </w:r>
            <w:r>
              <w:instrText xml:space="preserve"> HYPERLINK "http://news.ustb.edu.cn/xinwendaodu/2022-06-15/80929.html" </w:instrText>
            </w:r>
            <w:r>
              <w:fldChar w:fldCharType="separate"/>
            </w:r>
            <w:r>
              <w:rPr>
                <w:rStyle w:val="6"/>
                <w:rFonts w:hint="eastAsia" w:ascii="宋体" w:hAnsi="宋体" w:cs="宋体"/>
                <w:szCs w:val="21"/>
              </w:rPr>
              <w:t>详情点击查看</w:t>
            </w:r>
            <w:r>
              <w:rPr>
                <w:rStyle w:val="7"/>
                <w:rFonts w:hint="eastAsia" w:ascii="宋体" w:hAnsi="宋体" w:cs="宋体"/>
                <w:szCs w:val="21"/>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rFonts w:ascii="宋体" w:hAnsi="宋体" w:cs="宋体"/>
                <w:szCs w:val="21"/>
              </w:rPr>
            </w:pPr>
            <w:r>
              <w:rPr>
                <w:rFonts w:hint="eastAsia"/>
                <w:b/>
                <w:bCs/>
                <w:sz w:val="24"/>
                <w:szCs w:val="24"/>
              </w:rPr>
              <w:t>第八届USTB-DMU孔子学院理事会顺利举行</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宋体" w:hAnsi="宋体" w:cs="宋体"/>
                <w:szCs w:val="21"/>
              </w:rPr>
            </w:pPr>
            <w:r>
              <w:rPr>
                <w:rFonts w:hint="eastAsia" w:ascii="仿宋_GB2312" w:hAnsi="宋体" w:eastAsia="仿宋_GB2312" w:cs="宋体"/>
                <w:kern w:val="0"/>
                <w:sz w:val="24"/>
                <w:szCs w:val="24"/>
              </w:rPr>
              <w:t>为推进孔子学院发展，6月15日，北京科技大学与英国德蒙福特大学共同召开了第八届USTB-DMU孔子学院理事会视频会议。德蒙福特大学校长Katie Normington，常务副校长Simon Bradbury，我校校长杨仁树，副校长吕昭平参加会议，孔子学院中方院长杨英军主持会议。</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firstLineChars="0"/>
              <w:jc w:val="right"/>
              <w:rPr>
                <w:rStyle w:val="7"/>
                <w:rFonts w:ascii="宋体" w:hAnsi="宋体" w:cs="宋体"/>
                <w:szCs w:val="21"/>
              </w:rPr>
            </w:pPr>
            <w:r>
              <w:fldChar w:fldCharType="begin"/>
            </w:r>
            <w:r>
              <w:instrText xml:space="preserve"> HYPERLINK "http://news.ustb.edu.cn/xinwendaodu/2022-06-16/80934.html" </w:instrText>
            </w:r>
            <w:r>
              <w:fldChar w:fldCharType="separate"/>
            </w:r>
            <w:r>
              <w:rPr>
                <w:rStyle w:val="6"/>
                <w:rFonts w:hint="eastAsia" w:ascii="宋体" w:hAnsi="宋体" w:cs="宋体"/>
                <w:szCs w:val="21"/>
              </w:rPr>
              <w:t>详情点击查看</w:t>
            </w:r>
            <w:r>
              <w:rPr>
                <w:rStyle w:val="7"/>
                <w:rFonts w:hint="eastAsia" w:ascii="宋体" w:hAnsi="宋体" w:cs="宋体"/>
                <w:szCs w:val="21"/>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b/>
                <w:bCs/>
                <w:sz w:val="24"/>
                <w:szCs w:val="24"/>
              </w:rPr>
            </w:pPr>
            <w:r>
              <w:rPr>
                <w:rFonts w:hint="eastAsia"/>
                <w:b/>
                <w:bCs/>
                <w:sz w:val="24"/>
                <w:szCs w:val="24"/>
              </w:rPr>
              <w:t>雄安校区总体规划方案征集设计情况进展顺利</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仿宋_GB2312" w:hAnsi="宋体" w:eastAsia="仿宋_GB2312" w:cs="宋体"/>
                <w:kern w:val="0"/>
                <w:sz w:val="24"/>
                <w:szCs w:val="24"/>
              </w:rPr>
            </w:pPr>
            <w:r>
              <w:rPr>
                <w:rFonts w:hint="eastAsia" w:ascii="仿宋_GB2312" w:hAnsi="宋体" w:eastAsia="仿宋_GB2312" w:cs="宋体"/>
                <w:kern w:val="0"/>
                <w:sz w:val="24"/>
                <w:szCs w:val="24"/>
              </w:rPr>
              <w:t>6月18日，学校组织召开雄安校区总体规划方案征集设计情况阶段性汇报会。教育部发展规划司基建处处长王长树、教育部学校规建中心副主任邬国强、雄安集团副总经理翟伟、雄安新区规建局副局长潘海霞、中规院雄安研究院院长殷会良及有关负责人；学校党委书记武贵龙，校长杨仁树，副校长郑安阳、闫相斌，相关职能部门负责人及师生代表在主会场参会。会议由项目指挥部副总指挥金仁东主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firstLineChars="0"/>
              <w:jc w:val="right"/>
            </w:pPr>
            <w:r>
              <w:fldChar w:fldCharType="begin"/>
            </w:r>
            <w:r>
              <w:instrText xml:space="preserve"> HYPERLINK "http://news.ustb.edu.cn/xinwendaodu/2022-06-20/80943.html" </w:instrText>
            </w:r>
            <w:r>
              <w:fldChar w:fldCharType="separate"/>
            </w:r>
            <w:r>
              <w:rPr>
                <w:rStyle w:val="6"/>
                <w:rFonts w:hint="eastAsia" w:ascii="宋体" w:hAnsi="宋体" w:cs="宋体"/>
                <w:szCs w:val="21"/>
              </w:rPr>
              <w:t>详情点击查看</w:t>
            </w:r>
            <w:r>
              <w:rPr>
                <w:rStyle w:val="7"/>
                <w:rFonts w:hint="eastAsia" w:ascii="宋体" w:hAnsi="宋体" w:cs="宋体"/>
                <w:szCs w:val="21"/>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pPr>
            <w:r>
              <w:rPr>
                <w:rFonts w:hint="eastAsia"/>
                <w:b/>
                <w:bCs/>
                <w:sz w:val="24"/>
                <w:szCs w:val="24"/>
              </w:rPr>
              <w:t>学校召开校学位评定委员会十届十一次会议</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6月21日下午，学校在天工大厦会议室召开校学位评定委员会十届十一次全体委员会议。校学位评定委员会主席、校长杨仁树等20位委员现场出席了会议，4位委员线上出席了会议。会议由校学位评定委员会副主席、副校长王鲁宁主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tabs>
                <w:tab w:val="right" w:pos="10002"/>
              </w:tabs>
              <w:spacing w:line="400" w:lineRule="exact"/>
              <w:ind w:firstLine="0" w:firstLineChars="0"/>
            </w:pPr>
            <w:r>
              <w:tab/>
            </w:r>
            <w:r>
              <w:fldChar w:fldCharType="begin"/>
            </w:r>
            <w:r>
              <w:instrText xml:space="preserve"> HYPERLINK "http://news.ustb.edu.cn/xinwendaodu/2022-06-22/80946.html" </w:instrText>
            </w:r>
            <w:r>
              <w:fldChar w:fldCharType="separate"/>
            </w:r>
            <w:r>
              <w:rPr>
                <w:rStyle w:val="6"/>
                <w:rFonts w:hint="eastAsia" w:ascii="宋体" w:hAnsi="宋体" w:cs="宋体"/>
                <w:szCs w:val="21"/>
              </w:rPr>
              <w:t>详情点击查看</w:t>
            </w:r>
            <w:r>
              <w:rPr>
                <w:rStyle w:val="7"/>
                <w:rFonts w:hint="eastAsia" w:ascii="宋体" w:hAnsi="宋体" w:cs="宋体"/>
                <w:szCs w:val="21"/>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pPr>
            <w:r>
              <w:rPr>
                <w:rFonts w:hint="eastAsia"/>
                <w:b/>
                <w:bCs/>
                <w:sz w:val="24"/>
                <w:szCs w:val="24"/>
              </w:rPr>
              <w:t>奋进时代征程，熔铸钢铁脊梁——学校举行2022届学生毕业典礼</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仿宋_GB2312" w:hAnsi="宋体" w:eastAsia="仿宋_GB2312" w:cs="宋体"/>
                <w:kern w:val="0"/>
                <w:sz w:val="24"/>
                <w:szCs w:val="24"/>
              </w:rPr>
            </w:pPr>
            <w:r>
              <w:rPr>
                <w:rFonts w:hint="eastAsia" w:ascii="仿宋_GB2312" w:hAnsi="宋体" w:eastAsia="仿宋_GB2312" w:cs="宋体"/>
                <w:kern w:val="0"/>
                <w:sz w:val="24"/>
                <w:szCs w:val="24"/>
              </w:rPr>
              <w:t>蕙风如薰，骊歌轻起，又一批北科学子即将告别满井，奔赴祖国大地建功立业，开启人生旅途的崭新起点。6月24日上午，北京科技大学2022届学生毕业典礼在求实广场隆重举行。校党委书记武贵龙，校长杨仁树，党委副书记、纪委书记戴井岗，副校长吕昭平，党委副书记孙景宏，副校长郑安阳、张卫冬、闫相斌、王鲁宁，以及相关职能部处和各学院、研究生培养单位的负责同志出席典礼。典礼由郑安阳主持。学校在网络云端对毕业典礼进行同步直播，6000余名2022届毕业生同学，学校教师、家长和各界校友一同在线上参加毕业典礼，共同见证毕业生圆满完成学业、开启人生新旅程的难忘时刻，留存疫情下共克时艰的特殊毕业回忆。</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tabs>
                <w:tab w:val="right" w:pos="10002"/>
              </w:tabs>
              <w:spacing w:line="400" w:lineRule="exact"/>
              <w:ind w:firstLineChars="0"/>
              <w:jc w:val="right"/>
            </w:pPr>
            <w:r>
              <w:fldChar w:fldCharType="begin"/>
            </w:r>
            <w:r>
              <w:instrText xml:space="preserve"> HYPERLINK "http://news.ustb.edu.cn/xinwendaodu/2022-06-24/80950.html" </w:instrText>
            </w:r>
            <w:r>
              <w:fldChar w:fldCharType="separate"/>
            </w:r>
            <w:r>
              <w:rPr>
                <w:rStyle w:val="6"/>
                <w:rFonts w:hint="eastAsia" w:ascii="宋体" w:hAnsi="宋体" w:cs="宋体"/>
                <w:szCs w:val="21"/>
              </w:rPr>
              <w:t>详情点击查看</w:t>
            </w:r>
            <w:r>
              <w:rPr>
                <w:rStyle w:val="7"/>
                <w:rFonts w:hint="eastAsia" w:ascii="宋体" w:hAnsi="宋体" w:cs="宋体"/>
                <w:szCs w:val="21"/>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pStyle w:val="9"/>
              <w:numPr>
                <w:ilvl w:val="0"/>
                <w:numId w:val="1"/>
              </w:numPr>
              <w:spacing w:line="400" w:lineRule="exact"/>
              <w:ind w:left="525" w:leftChars="0" w:hanging="420" w:firstLineChars="0"/>
              <w:jc w:val="left"/>
              <w:rPr>
                <w:rFonts w:ascii="Times New Roman" w:hAnsi="Times New Roman" w:eastAsia="宋体" w:cs="Times New Roman"/>
                <w:kern w:val="2"/>
                <w:sz w:val="21"/>
                <w:szCs w:val="22"/>
                <w:lang w:val="en-US" w:eastAsia="zh-CN" w:bidi="ar-SA"/>
              </w:rPr>
            </w:pPr>
            <w:r>
              <w:rPr>
                <w:rFonts w:hint="eastAsia"/>
                <w:b/>
                <w:bCs/>
                <w:sz w:val="24"/>
                <w:szCs w:val="24"/>
              </w:rPr>
              <w:t>我校主办的《矿物冶金与材料学报（英文版）》学术影响力再攀新高</w:t>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widowControl/>
              <w:spacing w:line="400" w:lineRule="exact"/>
              <w:ind w:firstLine="482" w:firstLineChars="0"/>
              <w:rPr>
                <w:rFonts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6月28日，科睿唯安发布了2021版《期刊引证报告》（JCR2021），我校主办的《矿物冶金与材料学报（英文版）》（International Journal of Minerals, Metallurgy and Materials，简称IJMMM ）影响因子增至3.850，同比增长72.5%，在冶金与冶金工程学科和矿业工程与矿物加工学科均首次进入Q1区（排名前25%），在材料科学综合学科首次进入Q2区（排名前50%）, 总被引频次4491，同比增长45.6%。</w:t>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pStyle w:val="10"/>
              <w:tabs>
                <w:tab w:val="right" w:pos="10002"/>
              </w:tabs>
              <w:spacing w:line="400" w:lineRule="exact"/>
              <w:ind w:firstLine="420" w:firstLineChars="0"/>
              <w:jc w:val="right"/>
              <w:rPr>
                <w:rFonts w:ascii="Times New Roman" w:hAnsi="Times New Roman" w:eastAsia="宋体" w:cs="Times New Roman"/>
                <w:kern w:val="2"/>
                <w:sz w:val="21"/>
                <w:szCs w:val="22"/>
                <w:lang w:val="en-US" w:eastAsia="zh-CN" w:bidi="ar-SA"/>
              </w:rPr>
            </w:pPr>
            <w:r>
              <w:rPr>
                <w:rFonts w:hint="eastAsia" w:ascii="宋体" w:hAnsi="宋体" w:cs="宋体"/>
                <w:color w:val="auto"/>
                <w:szCs w:val="21"/>
                <w:u w:val="none"/>
              </w:rPr>
              <w:fldChar w:fldCharType="begin"/>
            </w:r>
            <w:r>
              <w:rPr>
                <w:rFonts w:hint="eastAsia" w:ascii="宋体" w:hAnsi="宋体" w:cs="宋体"/>
                <w:color w:val="auto"/>
                <w:szCs w:val="21"/>
                <w:u w:val="none"/>
              </w:rPr>
              <w:instrText xml:space="preserve"> HYPERLINK "http://news.ustb.edu.cn/xinwendaodu/2022-06-28/80959.html" </w:instrText>
            </w:r>
            <w:r>
              <w:rPr>
                <w:rFonts w:hint="eastAsia" w:ascii="宋体" w:hAnsi="宋体" w:cs="宋体"/>
                <w:color w:val="auto"/>
                <w:szCs w:val="21"/>
                <w:u w:val="none"/>
              </w:rPr>
              <w:fldChar w:fldCharType="separate"/>
            </w:r>
            <w:r>
              <w:rPr>
                <w:rStyle w:val="6"/>
                <w:rFonts w:hint="eastAsia" w:ascii="宋体" w:hAnsi="宋体" w:cs="宋体"/>
                <w:szCs w:val="21"/>
              </w:rPr>
              <w:t>详情点击查看</w:t>
            </w:r>
            <w:r>
              <w:rPr>
                <w:rFonts w:hint="eastAsia" w:ascii="宋体" w:hAnsi="宋体" w:cs="宋体"/>
                <w:color w:val="auto"/>
                <w:szCs w:val="21"/>
                <w:u w:val="none"/>
              </w:rPr>
              <w:fldChar w:fldCharType="end"/>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pStyle w:val="9"/>
              <w:numPr>
                <w:ilvl w:val="0"/>
                <w:numId w:val="1"/>
              </w:numPr>
              <w:spacing w:line="400" w:lineRule="exact"/>
              <w:ind w:left="525" w:leftChars="0" w:hanging="420" w:firstLineChars="0"/>
              <w:jc w:val="left"/>
              <w:rPr>
                <w:rFonts w:ascii="Times New Roman" w:hAnsi="Times New Roman" w:eastAsia="宋体" w:cs="Times New Roman"/>
                <w:kern w:val="2"/>
                <w:sz w:val="21"/>
                <w:szCs w:val="22"/>
                <w:lang w:val="en-US" w:eastAsia="zh-CN" w:bidi="ar-SA"/>
              </w:rPr>
            </w:pPr>
            <w:r>
              <w:rPr>
                <w:rFonts w:hint="eastAsia"/>
                <w:b/>
                <w:bCs/>
                <w:sz w:val="24"/>
                <w:szCs w:val="24"/>
              </w:rPr>
              <w:t>我校教师翻译的《习近平与大学生朋友们》英文版由巴基斯坦超越地平线出版社出版发行</w:t>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widowControl/>
              <w:spacing w:line="400" w:lineRule="exact"/>
              <w:ind w:firstLine="482" w:firstLineChars="0"/>
              <w:rPr>
                <w:rFonts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6月24日，《习近平与大学生朋友们》英文版推介会在北京青年宫举行，团中央书记处常务书记汪鸿雁出席并讲话。该书近日由巴基斯坦超越地平线出版社出版发行。本书英文译者、我校外国语学院教师赵晶、李天竹、唐中黎和外国语学院党委书记沈崴受邀参会，学校共青团研究中心王丽莉代表本书编写组与主持人对话分享访谈编写过程中的体会。</w:t>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pStyle w:val="10"/>
              <w:tabs>
                <w:tab w:val="right" w:pos="10002"/>
              </w:tabs>
              <w:spacing w:line="400" w:lineRule="exact"/>
              <w:ind w:firstLine="420" w:firstLineChars="0"/>
              <w:jc w:val="right"/>
              <w:rPr>
                <w:rFonts w:ascii="Times New Roman" w:hAnsi="Times New Roman" w:eastAsia="宋体" w:cs="Times New Roman"/>
                <w:kern w:val="2"/>
                <w:sz w:val="21"/>
                <w:szCs w:val="22"/>
                <w:lang w:val="en-US" w:eastAsia="zh-CN" w:bidi="ar-SA"/>
              </w:rPr>
            </w:pPr>
            <w:r>
              <w:rPr>
                <w:rFonts w:hint="eastAsia" w:ascii="宋体" w:hAnsi="宋体" w:cs="宋体"/>
                <w:color w:val="auto"/>
                <w:szCs w:val="21"/>
                <w:u w:val="none"/>
              </w:rPr>
              <w:fldChar w:fldCharType="begin"/>
            </w:r>
            <w:r>
              <w:rPr>
                <w:rFonts w:hint="eastAsia" w:ascii="宋体" w:hAnsi="宋体" w:cs="宋体"/>
                <w:color w:val="auto"/>
                <w:szCs w:val="21"/>
                <w:u w:val="none"/>
              </w:rPr>
              <w:instrText xml:space="preserve"> HYPERLINK "http://news.ustb.edu.cn/xinwendaodu/2022-06-30/80962.html" </w:instrText>
            </w:r>
            <w:r>
              <w:rPr>
                <w:rFonts w:hint="eastAsia" w:ascii="宋体" w:hAnsi="宋体" w:cs="宋体"/>
                <w:color w:val="auto"/>
                <w:szCs w:val="21"/>
                <w:u w:val="none"/>
              </w:rPr>
              <w:fldChar w:fldCharType="separate"/>
            </w:r>
            <w:r>
              <w:rPr>
                <w:rStyle w:val="6"/>
                <w:rFonts w:hint="eastAsia" w:ascii="宋体" w:hAnsi="宋体" w:cs="宋体"/>
                <w:szCs w:val="21"/>
              </w:rPr>
              <w:t>详情点击查看</w:t>
            </w:r>
            <w:r>
              <w:rPr>
                <w:rFonts w:hint="eastAsia" w:ascii="宋体" w:hAnsi="宋体" w:cs="宋体"/>
                <w:color w:val="auto"/>
                <w:szCs w:val="21"/>
                <w:u w:val="none"/>
              </w:rPr>
              <w:fldChar w:fldCharType="end"/>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pStyle w:val="9"/>
              <w:numPr>
                <w:ilvl w:val="0"/>
                <w:numId w:val="0"/>
              </w:numPr>
              <w:spacing w:line="400" w:lineRule="exact"/>
              <w:ind w:left="105" w:leftChars="0" w:firstLine="0" w:firstLineChars="0"/>
              <w:jc w:val="left"/>
              <w:rPr>
                <w:rFonts w:hint="eastAsia" w:ascii="Times New Roman" w:hAnsi="Times New Roman" w:eastAsia="宋体" w:cs="Times New Roman"/>
                <w:b/>
                <w:bCs/>
                <w:kern w:val="2"/>
                <w:sz w:val="24"/>
                <w:szCs w:val="24"/>
                <w:lang w:val="en-US" w:eastAsia="zh-CN" w:bidi="ar-SA"/>
              </w:rPr>
            </w:pPr>
            <w:r>
              <w:drawing>
                <wp:inline distT="0" distB="0" distL="114300" distR="114300">
                  <wp:extent cx="4880610" cy="244475"/>
                  <wp:effectExtent l="0" t="0" r="15240" b="3175"/>
                  <wp:docPr id="5" name="图片 3" descr="校友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校友活动"/>
                          <pic:cNvPicPr>
                            <a:picLocks noChangeAspect="1"/>
                          </pic:cNvPicPr>
                        </pic:nvPicPr>
                        <pic:blipFill>
                          <a:blip r:embed="rId6"/>
                          <a:stretch>
                            <a:fillRect/>
                          </a:stretch>
                        </pic:blipFill>
                        <pic:spPr>
                          <a:xfrm>
                            <a:off x="0" y="0"/>
                            <a:ext cx="4880610" cy="244475"/>
                          </a:xfrm>
                          <a:prstGeom prst="rect">
                            <a:avLst/>
                          </a:prstGeom>
                          <a:noFill/>
                          <a:ln>
                            <a:noFill/>
                          </a:ln>
                        </pic:spPr>
                      </pic:pic>
                    </a:graphicData>
                  </a:graphic>
                </wp:inline>
              </w:drawing>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pStyle w:val="9"/>
              <w:numPr>
                <w:ilvl w:val="0"/>
                <w:numId w:val="1"/>
              </w:numPr>
              <w:spacing w:line="400" w:lineRule="exact"/>
              <w:ind w:left="525" w:leftChars="0" w:hanging="420" w:firstLineChars="0"/>
              <w:jc w:val="left"/>
              <w:rPr>
                <w:rFonts w:hint="eastAsia" w:ascii="Times New Roman" w:hAnsi="Times New Roman" w:eastAsia="宋体" w:cs="Times New Roman"/>
                <w:kern w:val="2"/>
                <w:sz w:val="21"/>
                <w:szCs w:val="22"/>
                <w:lang w:val="en-US" w:eastAsia="zh-CN" w:bidi="ar-SA"/>
              </w:rPr>
            </w:pPr>
            <w:r>
              <w:rPr>
                <w:rFonts w:hint="eastAsia"/>
                <w:b/>
                <w:bCs/>
                <w:sz w:val="24"/>
                <w:szCs w:val="24"/>
              </w:rPr>
              <w:t>知是行之始 行是知之成—北科大宁波&amp;浙江校友会走进余姚优秀校友企业惠康实业实纪</w:t>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widowControl/>
              <w:spacing w:line="400" w:lineRule="exact"/>
              <w:ind w:firstLine="482" w:firstLineChars="0"/>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近日，由宁波校友会主办、宁波惠康实业有限公司董事长83级冶金系陈越增校友承办的宁波&amp;浙江校友会走进余姚·优秀校友企业惠康实业的校友会系列活动如期举行。宁波、浙江、温州、经管学院校友会的50余名校友齐聚“阳明故里”余姚，参观了王阳明故居、宁波江丰电子材料股份有限公司和宁波惠康实业有限公司。</w:t>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pStyle w:val="10"/>
              <w:tabs>
                <w:tab w:val="right" w:pos="10002"/>
              </w:tabs>
              <w:spacing w:line="400" w:lineRule="exact"/>
              <w:ind w:firstLine="420" w:firstLineChars="0"/>
              <w:jc w:val="right"/>
              <w:rPr>
                <w:rFonts w:hint="eastAsia" w:ascii="Times New Roman" w:hAnsi="Times New Roman" w:eastAsia="宋体" w:cs="Times New Roman"/>
                <w:kern w:val="2"/>
                <w:sz w:val="21"/>
                <w:szCs w:val="22"/>
                <w:lang w:val="en-US" w:eastAsia="zh-CN" w:bidi="ar-SA"/>
              </w:rPr>
            </w:pPr>
            <w:r>
              <w:rPr>
                <w:rFonts w:hint="eastAsia" w:ascii="宋体" w:hAnsi="宋体" w:cs="宋体"/>
                <w:color w:val="auto"/>
                <w:szCs w:val="21"/>
                <w:u w:val="none"/>
              </w:rPr>
              <w:fldChar w:fldCharType="begin"/>
            </w:r>
            <w:r>
              <w:rPr>
                <w:rFonts w:hint="eastAsia" w:ascii="宋体" w:hAnsi="宋体" w:cs="宋体"/>
                <w:color w:val="auto"/>
                <w:szCs w:val="21"/>
                <w:u w:val="none"/>
              </w:rPr>
              <w:instrText xml:space="preserve"> HYPERLINK "https://alumni.ustb.edu.cn/xw/xyxw/2f015d193a3a4038b083f96f5d484f37.htm" </w:instrText>
            </w:r>
            <w:r>
              <w:rPr>
                <w:rFonts w:hint="eastAsia" w:ascii="宋体" w:hAnsi="宋体" w:cs="宋体"/>
                <w:color w:val="auto"/>
                <w:szCs w:val="21"/>
                <w:u w:val="none"/>
              </w:rPr>
              <w:fldChar w:fldCharType="separate"/>
            </w:r>
            <w:r>
              <w:rPr>
                <w:rStyle w:val="6"/>
                <w:rFonts w:hint="eastAsia" w:ascii="宋体" w:hAnsi="宋体" w:cs="宋体"/>
                <w:szCs w:val="21"/>
              </w:rPr>
              <w:t>详情点击查看</w:t>
            </w:r>
            <w:r>
              <w:rPr>
                <w:rFonts w:hint="eastAsia" w:ascii="宋体" w:hAnsi="宋体" w:cs="宋体"/>
                <w:color w:val="auto"/>
                <w:szCs w:val="21"/>
                <w:u w:val="none"/>
              </w:rPr>
              <w:fldChar w:fldCharType="end"/>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pStyle w:val="9"/>
              <w:numPr>
                <w:ilvl w:val="0"/>
                <w:numId w:val="1"/>
              </w:numPr>
              <w:spacing w:line="400" w:lineRule="exact"/>
              <w:ind w:left="525" w:leftChars="0" w:hanging="420" w:firstLineChars="0"/>
              <w:jc w:val="left"/>
              <w:rPr>
                <w:rFonts w:hint="eastAsia" w:ascii="Times New Roman" w:hAnsi="Times New Roman" w:eastAsia="宋体" w:cs="Times New Roman"/>
                <w:kern w:val="2"/>
                <w:sz w:val="21"/>
                <w:szCs w:val="22"/>
                <w:lang w:val="en-US" w:eastAsia="zh-CN" w:bidi="ar-SA"/>
              </w:rPr>
            </w:pPr>
            <w:r>
              <w:rPr>
                <w:rFonts w:hint="eastAsia"/>
                <w:b/>
                <w:bCs/>
                <w:sz w:val="24"/>
                <w:szCs w:val="24"/>
              </w:rPr>
              <w:t>北科大无锡校友会第一届二次理事会扩大会议召开</w:t>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widowControl/>
              <w:spacing w:line="400" w:lineRule="exact"/>
              <w:ind w:firstLine="482" w:firstLineChars="0"/>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rPr>
              <w:t>2022年6月25日，在山川秀丽、人杰地灵的宜兴市召开北京科技大学无锡校友会第一届二次理事会扩大会议。参加会议的有北京科技大学校务委员会副主任、原副校长何民庆，北京科技大学校友会基金会办公室主任何进、苏州校友会会长孙延安，苏州校友丘东、苏州校友蒋国兵，无锡校友会会长高晓峰，名誉会长蒋长虹，秘书长谢晓楠，副会长王永江、李小东、黄化群、吴道新、吴文南，副秘书长李秀清，常务理事龙平、王永贺、李海全、包冬子、柴振军、黎广生、崔兴达、缪亮、汤卫强，理事太铁斌、周卫明、李坤、孙艳春、王云贤等人员。</w:t>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vAlign w:val="top"/>
          </w:tcPr>
          <w:p>
            <w:pPr>
              <w:spacing w:line="400" w:lineRule="exact"/>
              <w:rPr>
                <w:rFonts w:asciiTheme="minorHAnsi" w:hAnsiTheme="minorHAnsi" w:eastAsiaTheme="minorEastAsia" w:cstheme="minorBidi"/>
                <w:kern w:val="2"/>
                <w:sz w:val="21"/>
                <w:szCs w:val="22"/>
                <w:lang w:val="en-US" w:eastAsia="zh-CN" w:bidi="ar-SA"/>
              </w:rPr>
            </w:pPr>
          </w:p>
        </w:tc>
        <w:tc>
          <w:tcPr>
            <w:tcW w:w="10218" w:type="dxa"/>
            <w:vAlign w:val="top"/>
          </w:tcPr>
          <w:p>
            <w:pPr>
              <w:pStyle w:val="10"/>
              <w:tabs>
                <w:tab w:val="right" w:pos="10002"/>
              </w:tabs>
              <w:spacing w:line="400" w:lineRule="exact"/>
              <w:ind w:firstLine="420" w:firstLineChars="0"/>
              <w:jc w:val="right"/>
              <w:rPr>
                <w:rFonts w:hint="eastAsia" w:ascii="Times New Roman" w:hAnsi="Times New Roman" w:eastAsia="宋体" w:cs="Times New Roman"/>
                <w:kern w:val="2"/>
                <w:sz w:val="21"/>
                <w:szCs w:val="22"/>
                <w:lang w:val="en-US" w:eastAsia="zh-CN" w:bidi="ar-SA"/>
              </w:rPr>
            </w:pPr>
            <w:r>
              <w:rPr>
                <w:rFonts w:hint="eastAsia" w:ascii="宋体" w:hAnsi="宋体" w:cs="宋体"/>
                <w:color w:val="auto"/>
                <w:szCs w:val="21"/>
                <w:u w:val="none"/>
              </w:rPr>
              <w:fldChar w:fldCharType="begin"/>
            </w:r>
            <w:r>
              <w:rPr>
                <w:rFonts w:hint="eastAsia" w:ascii="宋体" w:hAnsi="宋体" w:cs="宋体"/>
                <w:color w:val="auto"/>
                <w:szCs w:val="21"/>
                <w:u w:val="none"/>
              </w:rPr>
              <w:instrText xml:space="preserve"> HYPERLINK "https://alumni.ustb.edu.cn/xw/xyxw/6268bdacd1614c10b1d527b19d55b538.htm" </w:instrText>
            </w:r>
            <w:r>
              <w:rPr>
                <w:rFonts w:hint="eastAsia" w:ascii="宋体" w:hAnsi="宋体" w:cs="宋体"/>
                <w:color w:val="auto"/>
                <w:szCs w:val="21"/>
                <w:u w:val="none"/>
              </w:rPr>
              <w:fldChar w:fldCharType="separate"/>
            </w:r>
            <w:r>
              <w:rPr>
                <w:rStyle w:val="6"/>
                <w:rFonts w:hint="eastAsia" w:ascii="宋体" w:hAnsi="宋体" w:cs="宋体"/>
                <w:szCs w:val="21"/>
              </w:rPr>
              <w:t>详情</w:t>
            </w:r>
            <w:bookmarkStart w:id="0" w:name="_GoBack"/>
            <w:bookmarkEnd w:id="0"/>
            <w:r>
              <w:rPr>
                <w:rStyle w:val="6"/>
                <w:rFonts w:hint="eastAsia" w:ascii="宋体" w:hAnsi="宋体" w:cs="宋体"/>
                <w:szCs w:val="21"/>
              </w:rPr>
              <w:t>点击查看</w:t>
            </w:r>
            <w:r>
              <w:rPr>
                <w:rFonts w:hint="eastAsia" w:ascii="宋体" w:hAnsi="宋体" w:cs="宋体"/>
                <w:color w:val="auto"/>
                <w:szCs w:val="21"/>
                <w:u w:val="none"/>
              </w:rPr>
              <w:fldChar w:fldCharType="end"/>
            </w:r>
          </w:p>
        </w:tc>
        <w:tc>
          <w:tcPr>
            <w:tcW w:w="242" w:type="dxa"/>
            <w:vAlign w:val="top"/>
          </w:tcPr>
          <w:p>
            <w:pPr>
              <w:spacing w:line="400" w:lineRule="exact"/>
              <w:rPr>
                <w:rFonts w:ascii="Times New Roman" w:hAnsi="Times New Roman" w:cs="Times New Roman" w:eastAsiaTheme="minorEastAsia"/>
                <w:kern w:val="2"/>
                <w:sz w:val="21"/>
                <w:szCs w:val="22"/>
                <w:lang w:val="en-US" w:eastAsia="zh-CN" w:bidi="ar-SA"/>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3"/>
              <w:spacing w:line="400" w:lineRule="exact"/>
              <w:rPr>
                <w:color w:val="000000"/>
                <w:kern w:val="2"/>
              </w:rPr>
            </w:pPr>
            <w:r>
              <w:rPr>
                <w:rFonts w:hint="eastAsia" w:cs="宋体"/>
                <w:b/>
                <w:color w:val="000000"/>
                <w:kern w:val="2"/>
              </w:rPr>
              <w:t>北京科技大学校友总会</w:t>
            </w:r>
          </w:p>
          <w:p>
            <w:pPr>
              <w:pStyle w:val="3"/>
              <w:spacing w:line="400" w:lineRule="exact"/>
              <w:rPr>
                <w:color w:val="000000"/>
                <w:kern w:val="2"/>
              </w:rPr>
            </w:pPr>
            <w:r>
              <w:rPr>
                <w:rFonts w:hint="eastAsia" w:cs="宋体"/>
                <w:b/>
                <w:color w:val="000000"/>
                <w:kern w:val="2"/>
              </w:rPr>
              <w:t>地  址：</w:t>
            </w:r>
            <w:r>
              <w:rPr>
                <w:rFonts w:hint="eastAsia" w:cs="宋体"/>
                <w:color w:val="000000"/>
                <w:kern w:val="2"/>
              </w:rPr>
              <w:t>北京市海淀区学院路30号  北京科技大学体育馆1号门1113室</w:t>
            </w:r>
          </w:p>
          <w:p>
            <w:pPr>
              <w:pStyle w:val="3"/>
              <w:spacing w:line="400" w:lineRule="exact"/>
              <w:rPr>
                <w:color w:val="000000"/>
                <w:kern w:val="2"/>
              </w:rPr>
            </w:pPr>
            <w:r>
              <w:rPr>
                <w:rFonts w:hint="eastAsia" w:cs="宋体"/>
                <w:b/>
                <w:color w:val="000000"/>
                <w:kern w:val="2"/>
              </w:rPr>
              <w:t>电  话：</w:t>
            </w:r>
            <w:r>
              <w:rPr>
                <w:rFonts w:hint="eastAsia" w:cs="宋体"/>
                <w:color w:val="000000"/>
                <w:kern w:val="2"/>
              </w:rPr>
              <w:t>（010）62332829  62334622</w:t>
            </w:r>
          </w:p>
          <w:p>
            <w:pPr>
              <w:pStyle w:val="3"/>
              <w:spacing w:line="400" w:lineRule="exact"/>
              <w:rPr>
                <w:rFonts w:cs="宋体"/>
                <w:color w:val="000000"/>
                <w:kern w:val="2"/>
              </w:rPr>
            </w:pPr>
            <w:r>
              <w:rPr>
                <w:rFonts w:hint="eastAsia" w:cs="宋体"/>
                <w:b/>
                <w:color w:val="000000"/>
                <w:kern w:val="2"/>
              </w:rPr>
              <w:t>传  真：</w:t>
            </w:r>
            <w:r>
              <w:rPr>
                <w:rFonts w:hint="eastAsia" w:cs="宋体"/>
                <w:color w:val="000000"/>
                <w:kern w:val="2"/>
              </w:rPr>
              <w:t>（010）62332829</w:t>
            </w:r>
          </w:p>
          <w:p>
            <w:pPr>
              <w:pStyle w:val="3"/>
              <w:spacing w:line="400" w:lineRule="exact"/>
              <w:rPr>
                <w:color w:val="000000"/>
                <w:kern w:val="2"/>
              </w:rPr>
            </w:pPr>
            <w:r>
              <w:rPr>
                <w:rFonts w:hint="eastAsia" w:cs="宋体"/>
                <w:b/>
                <w:color w:val="000000"/>
                <w:kern w:val="2"/>
              </w:rPr>
              <w:t>网  址：</w:t>
            </w:r>
            <w:r>
              <w:rPr>
                <w:rFonts w:hint="eastAsia" w:cs="宋体"/>
                <w:color w:val="000000"/>
                <w:kern w:val="2"/>
              </w:rPr>
              <w:t>http://alumni.ustb.edu.cn</w:t>
            </w:r>
          </w:p>
          <w:p>
            <w:pPr>
              <w:pStyle w:val="3"/>
              <w:spacing w:line="400" w:lineRule="exact"/>
              <w:rPr>
                <w:color w:val="000000"/>
                <w:kern w:val="2"/>
              </w:rPr>
            </w:pPr>
            <w:r>
              <w:rPr>
                <w:rFonts w:hint="eastAsia" w:cs="宋体"/>
                <w:b/>
                <w:color w:val="000000"/>
                <w:kern w:val="2"/>
              </w:rPr>
              <w:t>邮  箱：</w:t>
            </w:r>
            <w:r>
              <w:fldChar w:fldCharType="begin"/>
            </w:r>
            <w:r>
              <w:instrText xml:space="preserve"> HYPERLINK "mailto:xyh@ustb.edu.cn" \t "http://mail.163.com/js6/read/_blank" </w:instrText>
            </w:r>
            <w:r>
              <w:fldChar w:fldCharType="separate"/>
            </w:r>
            <w:r>
              <w:rPr>
                <w:rStyle w:val="7"/>
                <w:rFonts w:hint="eastAsia" w:cs="宋体"/>
                <w:color w:val="0066CC"/>
                <w:kern w:val="2"/>
              </w:rPr>
              <w:t>xyh@ustb.edu.cn</w:t>
            </w:r>
            <w:r>
              <w:rPr>
                <w:rStyle w:val="7"/>
                <w:rFonts w:hint="eastAsia" w:cs="宋体"/>
                <w:color w:val="0066CC"/>
                <w:kern w:val="2"/>
              </w:rPr>
              <w:fldChar w:fldCharType="end"/>
            </w:r>
          </w:p>
          <w:p>
            <w:pPr>
              <w:pStyle w:val="3"/>
              <w:spacing w:line="400" w:lineRule="exact"/>
              <w:rPr>
                <w:color w:val="000000"/>
                <w:kern w:val="2"/>
              </w:rPr>
            </w:pPr>
            <w:r>
              <w:rPr>
                <w:rFonts w:hint="eastAsia" w:cs="宋体"/>
                <w:b/>
                <w:color w:val="000000"/>
                <w:kern w:val="2"/>
              </w:rPr>
              <w:t>官方微信公众平台：</w:t>
            </w:r>
          </w:p>
          <w:p>
            <w:pPr>
              <w:pStyle w:val="3"/>
              <w:spacing w:line="400" w:lineRule="exact"/>
              <w:ind w:firstLine="482"/>
              <w:rPr>
                <w:color w:val="000000"/>
                <w:kern w:val="2"/>
              </w:rPr>
            </w:pPr>
            <w:r>
              <w:rPr>
                <w:rFonts w:hint="eastAsia" w:cs="宋体"/>
                <w:b/>
                <w:color w:val="000000"/>
                <w:kern w:val="2"/>
              </w:rPr>
              <w:t>名称：</w:t>
            </w:r>
            <w:r>
              <w:rPr>
                <w:rFonts w:hint="eastAsia" w:cs="宋体"/>
                <w:color w:val="000000"/>
                <w:kern w:val="2"/>
              </w:rPr>
              <w:t>北京科技大学校友总会</w:t>
            </w:r>
          </w:p>
          <w:p>
            <w:pPr>
              <w:spacing w:line="400" w:lineRule="exact"/>
              <w:rPr>
                <w:color w:val="000000"/>
                <w:szCs w:val="21"/>
              </w:rPr>
            </w:pPr>
            <w:r>
              <w:rPr>
                <w:rFonts w:cs="宋体"/>
                <w:b/>
                <w:color w:val="000000"/>
              </w:rPr>
              <w:t xml:space="preserve">     </w:t>
            </w:r>
            <w:r>
              <w:rPr>
                <w:rFonts w:hint="eastAsia" w:ascii="宋体" w:hAnsi="宋体" w:cs="宋体"/>
                <w:b/>
                <w:color w:val="000000"/>
                <w:kern w:val="0"/>
                <w:sz w:val="24"/>
                <w:szCs w:val="24"/>
              </w:rPr>
              <w:t>微信号</w:t>
            </w:r>
            <w:r>
              <w:rPr>
                <w:rFonts w:hint="eastAsia" w:cs="宋体"/>
                <w:b/>
                <w:color w:val="000000"/>
              </w:rPr>
              <w:t>：</w:t>
            </w:r>
            <w:r>
              <w:rPr>
                <w:rFonts w:hint="eastAsia" w:ascii="宋体" w:hAnsi="宋体" w:cs="宋体"/>
                <w:color w:val="000000"/>
                <w:kern w:val="0"/>
                <w:sz w:val="24"/>
                <w:szCs w:val="24"/>
              </w:rPr>
              <w:t>USTB_XYZH</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rPr>
                <w:color w:val="000000"/>
                <w:szCs w:val="21"/>
              </w:rPr>
            </w:pPr>
            <w:r>
              <w:drawing>
                <wp:inline distT="0" distB="0" distL="0" distR="0">
                  <wp:extent cx="1766570" cy="1766570"/>
                  <wp:effectExtent l="0" t="0" r="5080" b="508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66570" cy="1766570"/>
                          </a:xfrm>
                          <a:prstGeom prst="rect">
                            <a:avLst/>
                          </a:prstGeom>
                          <a:noFill/>
                          <a:ln>
                            <a:noFill/>
                          </a:ln>
                        </pic:spPr>
                      </pic:pic>
                    </a:graphicData>
                  </a:graphic>
                </wp:inline>
              </w:drawing>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tc>
        <w:tc>
          <w:tcPr>
            <w:tcW w:w="242" w:type="dxa"/>
          </w:tcPr>
          <w:p>
            <w:pPr>
              <w:spacing w:line="400" w:lineRule="exact"/>
            </w:pPr>
          </w:p>
        </w:tc>
      </w:tr>
      <w:tr>
        <w:tblPrEx>
          <w:tblCellMar>
            <w:top w:w="0" w:type="dxa"/>
            <w:left w:w="108" w:type="dxa"/>
            <w:bottom w:w="0" w:type="dxa"/>
            <w:right w:w="108" w:type="dxa"/>
          </w:tblCellMar>
        </w:tblPrEx>
        <w:trPr>
          <w:trHeight w:val="311" w:hRule="atLeast"/>
        </w:trPr>
        <w:tc>
          <w:tcPr>
            <w:tcW w:w="250" w:type="dxa"/>
          </w:tcPr>
          <w:p>
            <w:pPr>
              <w:spacing w:line="400" w:lineRule="exact"/>
            </w:pPr>
          </w:p>
        </w:tc>
        <w:tc>
          <w:tcPr>
            <w:tcW w:w="10218" w:type="dxa"/>
          </w:tcPr>
          <w:p/>
        </w:tc>
        <w:tc>
          <w:tcPr>
            <w:tcW w:w="242" w:type="dxa"/>
          </w:tcPr>
          <w:p>
            <w:pPr>
              <w:spacing w:line="400" w:lineRule="exact"/>
            </w:pP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1px;height:11px" o:bullet="t">
        <v:imagedata r:id="rId1" o:title=""/>
      </v:shape>
    </w:pict>
  </w:numPicBullet>
  <w:abstractNum w:abstractNumId="0">
    <w:nsid w:val="451569EC"/>
    <w:multiLevelType w:val="multilevel"/>
    <w:tmpl w:val="451569EC"/>
    <w:lvl w:ilvl="0" w:tentative="0">
      <w:start w:val="1"/>
      <w:numFmt w:val="bullet"/>
      <w:lvlText w:val=""/>
      <w:lvlPicBulletId w:val="0"/>
      <w:lvlJc w:val="left"/>
      <w:pPr>
        <w:ind w:left="525" w:hanging="420"/>
      </w:pPr>
      <w:rPr>
        <w:rFonts w:hint="default" w:ascii="Symbol" w:hAnsi="Symbol"/>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1ZWE0ZmI3MDVmOGE5MGE5ZDU2YTIwOTZlODY5ZTQifQ=="/>
  </w:docVars>
  <w:rsids>
    <w:rsidRoot w:val="00750750"/>
    <w:rsid w:val="00020F05"/>
    <w:rsid w:val="000C076D"/>
    <w:rsid w:val="000E0A50"/>
    <w:rsid w:val="00101E57"/>
    <w:rsid w:val="00135D8D"/>
    <w:rsid w:val="0016353D"/>
    <w:rsid w:val="001663CD"/>
    <w:rsid w:val="00183DF2"/>
    <w:rsid w:val="001D3153"/>
    <w:rsid w:val="002555E9"/>
    <w:rsid w:val="00281F34"/>
    <w:rsid w:val="00294F5C"/>
    <w:rsid w:val="002A17D0"/>
    <w:rsid w:val="002F22FE"/>
    <w:rsid w:val="00325E2A"/>
    <w:rsid w:val="00352853"/>
    <w:rsid w:val="0036080B"/>
    <w:rsid w:val="00375643"/>
    <w:rsid w:val="00376AFA"/>
    <w:rsid w:val="00381D06"/>
    <w:rsid w:val="00403437"/>
    <w:rsid w:val="004044B6"/>
    <w:rsid w:val="004B401B"/>
    <w:rsid w:val="004C2610"/>
    <w:rsid w:val="004E021E"/>
    <w:rsid w:val="004E2264"/>
    <w:rsid w:val="005251B4"/>
    <w:rsid w:val="005D449C"/>
    <w:rsid w:val="00687B2F"/>
    <w:rsid w:val="0069728A"/>
    <w:rsid w:val="006C3DF4"/>
    <w:rsid w:val="006C5CFD"/>
    <w:rsid w:val="006D0BE0"/>
    <w:rsid w:val="006D7281"/>
    <w:rsid w:val="00726D3A"/>
    <w:rsid w:val="007458E8"/>
    <w:rsid w:val="00750750"/>
    <w:rsid w:val="0077073E"/>
    <w:rsid w:val="007E6C0C"/>
    <w:rsid w:val="0081731F"/>
    <w:rsid w:val="00827343"/>
    <w:rsid w:val="008346AB"/>
    <w:rsid w:val="008533E6"/>
    <w:rsid w:val="008710D7"/>
    <w:rsid w:val="008B4349"/>
    <w:rsid w:val="008D2157"/>
    <w:rsid w:val="008E48B4"/>
    <w:rsid w:val="008F2B93"/>
    <w:rsid w:val="00902F8A"/>
    <w:rsid w:val="00921407"/>
    <w:rsid w:val="0095594E"/>
    <w:rsid w:val="009559A2"/>
    <w:rsid w:val="00967552"/>
    <w:rsid w:val="00976137"/>
    <w:rsid w:val="009C079A"/>
    <w:rsid w:val="009D0FD9"/>
    <w:rsid w:val="009F2880"/>
    <w:rsid w:val="00A01470"/>
    <w:rsid w:val="00A05AD1"/>
    <w:rsid w:val="00A4219C"/>
    <w:rsid w:val="00A56B3C"/>
    <w:rsid w:val="00A769AB"/>
    <w:rsid w:val="00B21201"/>
    <w:rsid w:val="00B23A2B"/>
    <w:rsid w:val="00B2723B"/>
    <w:rsid w:val="00B41563"/>
    <w:rsid w:val="00B76581"/>
    <w:rsid w:val="00BA40BE"/>
    <w:rsid w:val="00BB234E"/>
    <w:rsid w:val="00C210A1"/>
    <w:rsid w:val="00CA47CA"/>
    <w:rsid w:val="00D460EC"/>
    <w:rsid w:val="00D85295"/>
    <w:rsid w:val="00D946DB"/>
    <w:rsid w:val="00DF1E74"/>
    <w:rsid w:val="00E0795E"/>
    <w:rsid w:val="00E1641D"/>
    <w:rsid w:val="00E33EA6"/>
    <w:rsid w:val="00E90854"/>
    <w:rsid w:val="00E9309E"/>
    <w:rsid w:val="00EC36EC"/>
    <w:rsid w:val="00EE4AFD"/>
    <w:rsid w:val="00EF4C62"/>
    <w:rsid w:val="00F031B4"/>
    <w:rsid w:val="00F16623"/>
    <w:rsid w:val="00F41A6F"/>
    <w:rsid w:val="00F534ED"/>
    <w:rsid w:val="00F62FC7"/>
    <w:rsid w:val="00F71BCA"/>
    <w:rsid w:val="00F8431E"/>
    <w:rsid w:val="00FA3CE3"/>
    <w:rsid w:val="00FB16BF"/>
    <w:rsid w:val="00FB59CC"/>
    <w:rsid w:val="05224E71"/>
    <w:rsid w:val="1BC0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HTML Preformatted"/>
    <w:basedOn w:val="1"/>
    <w:link w:val="8"/>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character" w:styleId="6">
    <w:name w:val="FollowedHyperlink"/>
    <w:basedOn w:val="5"/>
    <w:semiHidden/>
    <w:unhideWhenUsed/>
    <w:uiPriority w:val="99"/>
    <w:rPr>
      <w:color w:val="800080"/>
      <w:u w:val="single"/>
    </w:rPr>
  </w:style>
  <w:style w:type="character" w:styleId="7">
    <w:name w:val="Hyperlink"/>
    <w:semiHidden/>
    <w:unhideWhenUsed/>
    <w:qFormat/>
    <w:uiPriority w:val="0"/>
    <w:rPr>
      <w:color w:val="0000FF"/>
      <w:u w:val="single"/>
    </w:rPr>
  </w:style>
  <w:style w:type="character" w:customStyle="1" w:styleId="8">
    <w:name w:val="HTML 预设格式 字符"/>
    <w:basedOn w:val="5"/>
    <w:link w:val="3"/>
    <w:semiHidden/>
    <w:qFormat/>
    <w:uiPriority w:val="0"/>
    <w:rPr>
      <w:rFonts w:ascii="宋体" w:hAnsi="宋体" w:eastAsia="宋体" w:cs="Times New Roman"/>
      <w:kern w:val="0"/>
      <w:sz w:val="24"/>
      <w:szCs w:val="24"/>
    </w:rPr>
  </w:style>
  <w:style w:type="paragraph" w:styleId="9">
    <w:name w:val="List Paragraph"/>
    <w:basedOn w:val="1"/>
    <w:qFormat/>
    <w:uiPriority w:val="34"/>
    <w:pPr>
      <w:ind w:firstLine="420" w:firstLineChars="200"/>
    </w:pPr>
    <w:rPr>
      <w:rFonts w:ascii="Times New Roman" w:hAnsi="Times New Roman" w:eastAsia="宋体" w:cs="Times New Roman"/>
    </w:rPr>
  </w:style>
  <w:style w:type="paragraph" w:customStyle="1" w:styleId="10">
    <w:name w:val="_Style 5"/>
    <w:basedOn w:val="1"/>
    <w:qFormat/>
    <w:uiPriority w:val="34"/>
    <w:pPr>
      <w:ind w:firstLine="420" w:firstLineChars="200"/>
    </w:pPr>
    <w:rPr>
      <w:rFonts w:ascii="Times New Roman" w:hAnsi="Times New Roman" w:eastAsia="宋体" w:cs="Times New Roman"/>
    </w:rPr>
  </w:style>
  <w:style w:type="table" w:customStyle="1" w:styleId="11">
    <w:name w:val="Grid Table 4 Accent 6"/>
    <w:basedOn w:val="4"/>
    <w:qFormat/>
    <w:uiPriority w:val="49"/>
    <w:rPr>
      <w:rFonts w:ascii="Times New Roman" w:hAnsi="Times New Roman" w:eastAsia="宋体" w:cs="Times New Roman"/>
      <w:kern w:val="0"/>
      <w:sz w:val="20"/>
      <w:szCs w:val="20"/>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2388</Words>
  <Characters>2672</Characters>
  <Lines>30</Lines>
  <Paragraphs>8</Paragraphs>
  <TotalTime>46</TotalTime>
  <ScaleCrop>false</ScaleCrop>
  <LinksUpToDate>false</LinksUpToDate>
  <CharactersWithSpaces>2702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2022-06-27T15:14:00Z</dcterms:created>
  <dc:creator>李 林倩</dc:creator>
  <cp:lastModifiedBy>chenyeming</cp:lastModifiedBy>
  <dcterms:modified xsi:type="dcterms:W3CDTF">2022-07-04T09:55:23Z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D9725A52754243B885D5E50101506AC8</vt:lpwstr>
  </property>
</Properties>
</file>